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8D57AE" w14:textId="54351169" w:rsidR="00D12619" w:rsidRDefault="00D12619" w:rsidP="00D12619">
      <w:pPr>
        <w:pStyle w:val="Header"/>
        <w:rPr>
          <w:rFonts w:cs="Arial"/>
          <w:sz w:val="24"/>
          <w:szCs w:val="24"/>
          <w:lang w:eastAsia="zh-CN"/>
        </w:rPr>
      </w:pPr>
      <w:bookmarkStart w:id="0" w:name="Title"/>
      <w:bookmarkStart w:id="1" w:name="_Ref462675860"/>
      <w:bookmarkEnd w:id="0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>
        <w:rPr>
          <w:rFonts w:cs="Arial"/>
          <w:sz w:val="24"/>
          <w:szCs w:val="24"/>
          <w:lang w:eastAsia="zh-CN"/>
        </w:rPr>
        <w:tab/>
      </w:r>
      <w:r>
        <w:rPr>
          <w:rFonts w:cs="Arial"/>
          <w:sz w:val="24"/>
          <w:szCs w:val="24"/>
          <w:lang w:eastAsia="zh-CN"/>
        </w:rPr>
        <w:tab/>
      </w:r>
      <w:r>
        <w:rPr>
          <w:rFonts w:cs="Arial"/>
          <w:sz w:val="24"/>
          <w:szCs w:val="24"/>
          <w:lang w:eastAsia="zh-CN"/>
        </w:rPr>
        <w:tab/>
      </w:r>
      <w:r>
        <w:rPr>
          <w:rFonts w:cs="Arial"/>
          <w:sz w:val="24"/>
          <w:szCs w:val="24"/>
          <w:lang w:eastAsia="zh-CN"/>
        </w:rPr>
        <w:tab/>
      </w:r>
      <w:r>
        <w:rPr>
          <w:rFonts w:cs="Arial"/>
          <w:sz w:val="24"/>
          <w:szCs w:val="24"/>
          <w:lang w:eastAsia="zh-CN"/>
        </w:rPr>
        <w:tab/>
      </w:r>
      <w:r>
        <w:rPr>
          <w:rFonts w:cs="Arial"/>
          <w:sz w:val="24"/>
          <w:szCs w:val="24"/>
          <w:lang w:eastAsia="zh-CN"/>
        </w:rPr>
        <w:tab/>
      </w:r>
      <w:r>
        <w:rPr>
          <w:rFonts w:cs="Arial"/>
          <w:sz w:val="24"/>
          <w:szCs w:val="24"/>
          <w:lang w:eastAsia="zh-CN"/>
        </w:rPr>
        <w:tab/>
      </w:r>
      <w:r w:rsidR="00562504" w:rsidRPr="00562504">
        <w:rPr>
          <w:rFonts w:cs="Arial"/>
          <w:sz w:val="24"/>
          <w:szCs w:val="24"/>
          <w:lang w:eastAsia="zh-CN"/>
        </w:rPr>
        <w:t>R4-2418603</w:t>
      </w:r>
    </w:p>
    <w:p w14:paraId="5389AA48" w14:textId="75697DDB" w:rsidR="00447550" w:rsidRPr="00C13DA6" w:rsidRDefault="00D12619" w:rsidP="00D12619">
      <w:pPr>
        <w:rPr>
          <w:rFonts w:ascii="Arial" w:hAnsi="Arial" w:cs="Arial"/>
          <w:b/>
        </w:rPr>
      </w:pPr>
      <w:r w:rsidRPr="00D12619">
        <w:rPr>
          <w:rFonts w:ascii="Arial" w:hAnsi="Arial" w:cs="Arial"/>
          <w:b/>
          <w:noProof/>
          <w:sz w:val="24"/>
          <w:szCs w:val="24"/>
          <w:lang w:eastAsia="zh-CN"/>
        </w:rPr>
        <w:t>Orlando, US, 18th – 22nd November, 2024</w:t>
      </w:r>
      <w:r w:rsidR="00447550">
        <w:rPr>
          <w:rFonts w:cs="Arial"/>
          <w:b/>
          <w:sz w:val="24"/>
        </w:rPr>
        <w:br/>
      </w:r>
    </w:p>
    <w:p w14:paraId="75E5446D" w14:textId="0D6855DB" w:rsidR="00A37CEF" w:rsidRPr="00785E35" w:rsidRDefault="00A37CEF" w:rsidP="002A08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7C0052">
        <w:rPr>
          <w:rFonts w:ascii="Arial" w:hAnsi="Arial"/>
          <w:sz w:val="24"/>
        </w:rPr>
        <w:t>7</w:t>
      </w:r>
      <w:r w:rsidR="006B0E0F">
        <w:rPr>
          <w:rFonts w:ascii="Arial" w:hAnsi="Arial"/>
          <w:sz w:val="24"/>
        </w:rPr>
        <w:t>.</w:t>
      </w:r>
      <w:r w:rsidR="00490A35">
        <w:rPr>
          <w:rFonts w:ascii="Arial" w:hAnsi="Arial"/>
          <w:sz w:val="24"/>
        </w:rPr>
        <w:t>20</w:t>
      </w:r>
      <w:r w:rsidR="006B0E0F">
        <w:rPr>
          <w:rFonts w:ascii="Arial" w:hAnsi="Arial"/>
          <w:sz w:val="24"/>
        </w:rPr>
        <w:t>.</w:t>
      </w:r>
      <w:r w:rsidR="00560D4B">
        <w:rPr>
          <w:rFonts w:ascii="Arial" w:hAnsi="Arial"/>
          <w:sz w:val="24"/>
        </w:rPr>
        <w:t>2.</w:t>
      </w:r>
      <w:r w:rsidR="001E1CC2">
        <w:rPr>
          <w:rFonts w:ascii="Arial" w:hAnsi="Arial"/>
          <w:sz w:val="24"/>
        </w:rPr>
        <w:t>3</w:t>
      </w:r>
    </w:p>
    <w:p w14:paraId="777EF737" w14:textId="77777777" w:rsidR="00A37CEF" w:rsidRPr="00785E35" w:rsidRDefault="00A37CEF" w:rsidP="002A08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5CDEEF4A" w14:textId="494751CB" w:rsidR="00A37CEF" w:rsidRPr="00785E35" w:rsidRDefault="00A37CEF" w:rsidP="002A0877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582C3B">
        <w:rPr>
          <w:rFonts w:ascii="Arial" w:hAnsi="Arial"/>
          <w:sz w:val="24"/>
        </w:rPr>
        <w:t xml:space="preserve">Views on </w:t>
      </w:r>
      <w:r w:rsidR="006F730F">
        <w:rPr>
          <w:rFonts w:ascii="Arial" w:hAnsi="Arial"/>
          <w:sz w:val="24"/>
        </w:rPr>
        <w:t xml:space="preserve">existing </w:t>
      </w:r>
      <w:r w:rsidR="001B7890">
        <w:rPr>
          <w:rFonts w:ascii="Arial" w:hAnsi="Arial"/>
          <w:sz w:val="24"/>
        </w:rPr>
        <w:t>R</w:t>
      </w:r>
      <w:r w:rsidR="00CE5C29">
        <w:rPr>
          <w:rFonts w:ascii="Arial" w:hAnsi="Arial"/>
          <w:sz w:val="24"/>
        </w:rPr>
        <w:t xml:space="preserve">x </w:t>
      </w:r>
      <w:r w:rsidR="006F730F">
        <w:rPr>
          <w:rFonts w:ascii="Arial" w:hAnsi="Arial"/>
          <w:sz w:val="24"/>
        </w:rPr>
        <w:t>BS RF requirements</w:t>
      </w:r>
      <w:r w:rsidR="007E49C0">
        <w:rPr>
          <w:rFonts w:ascii="Arial" w:hAnsi="Arial"/>
          <w:sz w:val="24"/>
        </w:rPr>
        <w:t xml:space="preserve"> for </w:t>
      </w:r>
      <w:r w:rsidR="006F730F">
        <w:rPr>
          <w:rFonts w:ascii="Arial" w:hAnsi="Arial"/>
          <w:sz w:val="24"/>
        </w:rPr>
        <w:t>SBFD</w:t>
      </w:r>
    </w:p>
    <w:p w14:paraId="6F8EE2E4" w14:textId="2FD7F559" w:rsidR="00A37CEF" w:rsidRPr="00785E35" w:rsidRDefault="00A37CEF" w:rsidP="002A0877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3" w:name="DocumentFor"/>
      <w:bookmarkEnd w:id="3"/>
      <w:r w:rsidR="00705014">
        <w:rPr>
          <w:rFonts w:ascii="Arial" w:hAnsi="Arial"/>
          <w:sz w:val="24"/>
        </w:rPr>
        <w:t>Approval</w:t>
      </w:r>
      <w:r w:rsidR="00E02445">
        <w:rPr>
          <w:rFonts w:ascii="Arial" w:hAnsi="Arial"/>
          <w:sz w:val="24"/>
        </w:rPr>
        <w:t xml:space="preserve"> </w:t>
      </w:r>
    </w:p>
    <w:p w14:paraId="57A32C14" w14:textId="77777777" w:rsidR="00A37CEF" w:rsidRPr="00785E35" w:rsidRDefault="00A37CEF" w:rsidP="002A0877">
      <w:pPr>
        <w:pStyle w:val="Heading1"/>
        <w:jc w:val="both"/>
      </w:pPr>
      <w:bookmarkStart w:id="4" w:name="_Ref465963108"/>
      <w:r w:rsidRPr="00785E35">
        <w:t>Introduction</w:t>
      </w:r>
      <w:bookmarkEnd w:id="1"/>
      <w:bookmarkEnd w:id="4"/>
    </w:p>
    <w:p w14:paraId="16D1D869" w14:textId="400BAE13" w:rsidR="00A37CEF" w:rsidRPr="005C6CB9" w:rsidRDefault="00A37CEF" w:rsidP="002A0877">
      <w:pPr>
        <w:spacing w:after="120" w:line="259" w:lineRule="auto"/>
        <w:ind w:right="-101"/>
        <w:jc w:val="both"/>
        <w:rPr>
          <w:rFonts w:eastAsia="Malgun Gothic"/>
          <w:lang w:val="en-CA" w:eastAsia="ko-KR"/>
        </w:rPr>
      </w:pPr>
      <w:r>
        <w:t xml:space="preserve">In </w:t>
      </w:r>
      <w:r w:rsidRPr="00785E35">
        <w:t>RAN#</w:t>
      </w:r>
      <w:r>
        <w:t>102</w:t>
      </w:r>
      <w:r w:rsidRPr="00785E35">
        <w:t xml:space="preserve">, the </w:t>
      </w:r>
      <w:r>
        <w:t>work</w:t>
      </w:r>
      <w:r w:rsidRPr="00785E35">
        <w:t xml:space="preserve"> item on </w:t>
      </w:r>
      <w:r>
        <w:t>e</w:t>
      </w:r>
      <w:r w:rsidRPr="00EB0730">
        <w:t>volution of NR duplex operation</w:t>
      </w:r>
      <w:r w:rsidR="009534D5">
        <w:t xml:space="preserve"> </w:t>
      </w:r>
      <w:r w:rsidRPr="00E95917">
        <w:t>was approved</w:t>
      </w:r>
      <w:r w:rsidRPr="00785E35">
        <w:t xml:space="preserve"> </w:t>
      </w:r>
      <w:r w:rsidRPr="00785E35">
        <w:fldChar w:fldCharType="begin"/>
      </w:r>
      <w:r w:rsidRPr="00785E35">
        <w:instrText xml:space="preserve"> REF _Ref47616084 \n \h </w:instrText>
      </w:r>
      <w:r>
        <w:instrText xml:space="preserve"> \* MERGEFORMAT </w:instrText>
      </w:r>
      <w:r w:rsidRPr="00785E35">
        <w:fldChar w:fldCharType="separate"/>
      </w:r>
      <w:r>
        <w:t>[1]</w:t>
      </w:r>
      <w:r w:rsidRPr="00785E35">
        <w:fldChar w:fldCharType="end"/>
      </w:r>
      <w:r w:rsidRPr="00785E35">
        <w:t>.</w:t>
      </w:r>
      <w:r>
        <w:t xml:space="preserve"> </w:t>
      </w:r>
      <w:r w:rsidR="00F44EF7">
        <w:t xml:space="preserve">From RAN4 </w:t>
      </w:r>
      <w:r w:rsidR="0023172D">
        <w:t xml:space="preserve">RF </w:t>
      </w:r>
      <w:r w:rsidR="00F44EF7">
        <w:t>perspective, t</w:t>
      </w:r>
      <w:r w:rsidRPr="00177BCB">
        <w:t xml:space="preserve">he objective of </w:t>
      </w:r>
      <w:r>
        <w:t xml:space="preserve">the work item is </w:t>
      </w:r>
      <w:r w:rsidR="00E8553E">
        <w:t>as follows: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7CEF" w14:paraId="110D1ACE" w14:textId="77777777" w:rsidTr="00255BB3">
        <w:tc>
          <w:tcPr>
            <w:tcW w:w="9962" w:type="dxa"/>
          </w:tcPr>
          <w:p w14:paraId="0B67DFFB" w14:textId="77777777" w:rsidR="00A37CEF" w:rsidRDefault="00A37CEF" w:rsidP="002A0877">
            <w:pPr>
              <w:spacing w:after="0"/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2EFF3E7D" w14:textId="5B49ACDB" w:rsidR="00A37CEF" w:rsidRPr="0023172D" w:rsidRDefault="00E8553E" w:rsidP="0023172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BS RF requirements for SBFD operation at gNB [RAN4]</w:t>
            </w:r>
          </w:p>
        </w:tc>
      </w:tr>
    </w:tbl>
    <w:p w14:paraId="3EC9F8B3" w14:textId="77777777" w:rsidR="00A37CEF" w:rsidRPr="00785E35" w:rsidRDefault="00A37CEF" w:rsidP="002A0877">
      <w:pPr>
        <w:jc w:val="both"/>
      </w:pPr>
    </w:p>
    <w:p w14:paraId="6556B6C7" w14:textId="506739C6" w:rsidR="00A37CEF" w:rsidRDefault="003B2119" w:rsidP="002A0877">
      <w:pPr>
        <w:jc w:val="both"/>
      </w:pPr>
      <w:r>
        <w:t xml:space="preserve">In RAN4#111, a WF was agreed in [3] based on some of the topics listed in the moderator summary, that is summarized in [2]. In this contribution, </w:t>
      </w:r>
      <w:r w:rsidR="00A37CEF">
        <w:t xml:space="preserve">we </w:t>
      </w:r>
      <w:r w:rsidR="00EB7153">
        <w:t xml:space="preserve">share our views on </w:t>
      </w:r>
      <w:r w:rsidR="002E21FA">
        <w:t xml:space="preserve">existing </w:t>
      </w:r>
      <w:r w:rsidR="00E54D55">
        <w:t xml:space="preserve">Rx </w:t>
      </w:r>
      <w:r w:rsidR="002E21FA">
        <w:t xml:space="preserve">BS RF requirements </w:t>
      </w:r>
      <w:r w:rsidR="00EF49CD">
        <w:t xml:space="preserve">for Rel-19 SBFD. </w:t>
      </w:r>
    </w:p>
    <w:p w14:paraId="5D128546" w14:textId="77777777" w:rsidR="00540B8E" w:rsidRDefault="00275C28" w:rsidP="000B045F">
      <w:pPr>
        <w:pStyle w:val="Heading1"/>
      </w:pPr>
      <w:r>
        <w:t xml:space="preserve">Impact on </w:t>
      </w:r>
      <w:r w:rsidR="00540B8E">
        <w:t xml:space="preserve">existing </w:t>
      </w:r>
      <w:r w:rsidR="001F7C18">
        <w:t xml:space="preserve">BS </w:t>
      </w:r>
      <w:r>
        <w:t>RF requirements</w:t>
      </w:r>
    </w:p>
    <w:p w14:paraId="3421551D" w14:textId="63DFC449" w:rsidR="00EF442F" w:rsidRDefault="00EF442F" w:rsidP="000B045F">
      <w:pPr>
        <w:pStyle w:val="Heading2"/>
      </w:pPr>
      <w:r>
        <w:t xml:space="preserve">Rx Requirements </w:t>
      </w:r>
    </w:p>
    <w:p w14:paraId="2E1D22B3" w14:textId="77777777" w:rsidR="006A34F7" w:rsidRDefault="006A34F7" w:rsidP="006A34F7">
      <w:pPr>
        <w:pStyle w:val="Heading3"/>
      </w:pPr>
      <w:r>
        <w:t>Reference sensitivity level and OTA sensitivity</w:t>
      </w:r>
    </w:p>
    <w:p w14:paraId="2EC8EBAB" w14:textId="77777777" w:rsidR="006A34F7" w:rsidRDefault="006A34F7" w:rsidP="006A34F7">
      <w:pPr>
        <w:rPr>
          <w:lang w:eastAsia="zh-CN"/>
        </w:rPr>
      </w:pPr>
      <w:r>
        <w:rPr>
          <w:lang w:val="en-GB"/>
        </w:rPr>
        <w:t xml:space="preserve">For the reference sensitivity, it was agreed in Rel-18 SI that </w:t>
      </w:r>
      <w:r>
        <w:rPr>
          <w:lang w:eastAsia="zh-CN"/>
        </w:rPr>
        <w:t>t</w:t>
      </w:r>
      <w:r>
        <w:rPr>
          <w:rFonts w:hint="eastAsia"/>
          <w:lang w:eastAsia="zh-CN"/>
        </w:rPr>
        <w:t>he existing requirement for conducted reference sensitivity level shall also be applied to BS in SBFD symbols</w:t>
      </w:r>
      <w:r>
        <w:rPr>
          <w:lang w:eastAsia="zh-CN"/>
        </w:rPr>
        <w:t xml:space="preserve"> for BS type 1-H. For the OTA sensitivity, RAN4 is expected to further discuss the allowed sensitivity degradation at the SBFD BS due to the self-interference. During the SI, value ranges within [0.5-1] dB were considered. The definition of the OTA sensitivity has not been finalized during the SI, it is our view that OTA sensitivity should be defined considering self-interference, inter-site interference, and inter-sector interference. </w:t>
      </w:r>
    </w:p>
    <w:p w14:paraId="6D05D343" w14:textId="5CC858FA" w:rsidR="006A34F7" w:rsidRDefault="006A34F7" w:rsidP="006A34F7">
      <w:pPr>
        <w:jc w:val="both"/>
        <w:rPr>
          <w:b/>
          <w:bCs/>
          <w:lang w:eastAsia="zh-CN"/>
        </w:rPr>
      </w:pPr>
      <w:r w:rsidRPr="00E97104">
        <w:rPr>
          <w:b/>
          <w:bCs/>
          <w:u w:val="single"/>
          <w:lang w:val="en-GB"/>
        </w:rPr>
        <w:t xml:space="preserve">Proposal </w:t>
      </w:r>
      <w:r w:rsidR="00C15AD2">
        <w:rPr>
          <w:b/>
          <w:bCs/>
          <w:u w:val="single"/>
          <w:lang w:val="en-GB"/>
        </w:rPr>
        <w:t>1</w:t>
      </w:r>
      <w:r w:rsidRPr="00E97104">
        <w:rPr>
          <w:b/>
          <w:bCs/>
          <w:lang w:val="en-GB"/>
        </w:rPr>
        <w:t xml:space="preserve">: RAN4 to </w:t>
      </w:r>
      <w:r w:rsidR="00FD77F7">
        <w:rPr>
          <w:b/>
          <w:bCs/>
          <w:lang w:val="en-GB"/>
        </w:rPr>
        <w:t>agree on 1 dB</w:t>
      </w:r>
      <w:r w:rsidR="003B3D26">
        <w:rPr>
          <w:b/>
          <w:bCs/>
          <w:lang w:val="en-GB"/>
        </w:rPr>
        <w:t xml:space="preserve"> degradation due to </w:t>
      </w:r>
      <w:r w:rsidRPr="00E97104">
        <w:rPr>
          <w:b/>
          <w:bCs/>
          <w:lang w:eastAsia="zh-CN"/>
        </w:rPr>
        <w:t xml:space="preserve">self-interference, inter-site interference, and inter-sector interference when defining the OTA reference sensitivity. </w:t>
      </w:r>
    </w:p>
    <w:p w14:paraId="63A611D7" w14:textId="336FF5E2" w:rsidR="00801478" w:rsidRDefault="00801478" w:rsidP="000B045F">
      <w:pPr>
        <w:pStyle w:val="Heading3"/>
      </w:pPr>
      <w:r>
        <w:t>In-band selectivity and blocking</w:t>
      </w:r>
    </w:p>
    <w:p w14:paraId="1018F75E" w14:textId="5C306E4C" w:rsidR="009C497B" w:rsidRDefault="00C22FEE" w:rsidP="000B045F">
      <w:pPr>
        <w:rPr>
          <w:lang w:val="en-GB"/>
        </w:rPr>
      </w:pPr>
      <w:r>
        <w:rPr>
          <w:lang w:val="en-GB"/>
        </w:rPr>
        <w:t xml:space="preserve">As </w:t>
      </w:r>
      <w:r w:rsidR="008032A6">
        <w:rPr>
          <w:lang w:val="en-GB"/>
        </w:rPr>
        <w:t>agreed,</w:t>
      </w:r>
      <w:r>
        <w:rPr>
          <w:lang w:val="en-GB"/>
        </w:rPr>
        <w:t xml:space="preserve"> in [2], the</w:t>
      </w:r>
      <w:r w:rsidR="00125EDD">
        <w:rPr>
          <w:lang w:val="en-GB"/>
        </w:rPr>
        <w:t xml:space="preserve"> in-ban</w:t>
      </w:r>
      <w:r w:rsidR="00EA3C4E">
        <w:rPr>
          <w:lang w:val="en-GB"/>
        </w:rPr>
        <w:t xml:space="preserve">d blocking requirements are expected to be derived based on </w:t>
      </w:r>
      <w:r w:rsidR="009015C8">
        <w:rPr>
          <w:lang w:val="en-GB"/>
        </w:rPr>
        <w:t>RAN4</w:t>
      </w:r>
      <w:r w:rsidR="00EA3C4E">
        <w:rPr>
          <w:lang w:val="en-GB"/>
        </w:rPr>
        <w:t xml:space="preserve"> adjacent channel coexistence</w:t>
      </w:r>
      <w:r>
        <w:rPr>
          <w:lang w:val="en-GB"/>
        </w:rPr>
        <w:t xml:space="preserve"> as agreed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22FEE" w14:paraId="4C9E49E7" w14:textId="77777777" w:rsidTr="00C22FEE">
        <w:tc>
          <w:tcPr>
            <w:tcW w:w="9962" w:type="dxa"/>
          </w:tcPr>
          <w:p w14:paraId="73AFCF22" w14:textId="77777777" w:rsidR="001E3975" w:rsidRPr="000C720C" w:rsidRDefault="001E3975" w:rsidP="000C720C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/>
              <w:ind w:hanging="357"/>
              <w:textAlignment w:val="baseline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720C">
              <w:rPr>
                <w:rFonts w:ascii="Times New Roman" w:eastAsiaTheme="minorEastAsia" w:hAnsi="Times New Roman"/>
                <w:sz w:val="20"/>
                <w:szCs w:val="20"/>
              </w:rPr>
              <w:t>FFS on the followings:</w:t>
            </w:r>
          </w:p>
          <w:p w14:paraId="3AAA3A79" w14:textId="77777777" w:rsidR="001E3975" w:rsidRPr="000C720C" w:rsidRDefault="001E3975" w:rsidP="000C720C">
            <w:pPr>
              <w:pStyle w:val="ListParagraph"/>
              <w:numPr>
                <w:ilvl w:val="1"/>
                <w:numId w:val="30"/>
              </w:numPr>
              <w:spacing w:before="0" w:after="120" w:line="259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0C720C">
              <w:rPr>
                <w:rFonts w:ascii="Times New Roman" w:hAnsi="Times New Roman"/>
                <w:sz w:val="20"/>
                <w:szCs w:val="20"/>
              </w:rPr>
              <w:t xml:space="preserve">For FR1 WA BS, RAN4 need to discuss whether a unified in-band blocking requirement is defined? </w:t>
            </w:r>
          </w:p>
          <w:p w14:paraId="2F91F5D2" w14:textId="77777777" w:rsidR="001E3975" w:rsidRPr="000C720C" w:rsidRDefault="001E3975" w:rsidP="000C720C">
            <w:pPr>
              <w:pStyle w:val="ListParagraph"/>
              <w:numPr>
                <w:ilvl w:val="2"/>
                <w:numId w:val="30"/>
              </w:numPr>
              <w:spacing w:before="0" w:after="120" w:line="259" w:lineRule="auto"/>
              <w:ind w:hanging="357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720C">
              <w:rPr>
                <w:rFonts w:ascii="Times New Roman" w:eastAsiaTheme="minorEastAsia" w:hAnsi="Times New Roman"/>
                <w:sz w:val="20"/>
                <w:szCs w:val="20"/>
              </w:rPr>
              <w:t>Option 1: a unified blocking requirement to consider both scenarios: coexistence with legacy TDD system in adjacent channel, and coexistence with new SBFD system in adjacent channel.</w:t>
            </w:r>
          </w:p>
          <w:p w14:paraId="0D90462B" w14:textId="77777777" w:rsidR="001E3975" w:rsidRPr="000C720C" w:rsidRDefault="001E3975" w:rsidP="000C720C">
            <w:pPr>
              <w:pStyle w:val="ListParagraph"/>
              <w:numPr>
                <w:ilvl w:val="2"/>
                <w:numId w:val="30"/>
              </w:numPr>
              <w:spacing w:before="0" w:after="120" w:line="259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0C720C">
              <w:rPr>
                <w:rFonts w:ascii="Times New Roman" w:eastAsiaTheme="minorEastAsia" w:hAnsi="Times New Roman"/>
                <w:sz w:val="20"/>
                <w:szCs w:val="20"/>
              </w:rPr>
              <w:t xml:space="preserve">Option 2: separate requirements are defined, </w:t>
            </w:r>
          </w:p>
          <w:p w14:paraId="72E0A108" w14:textId="77777777" w:rsidR="001E3975" w:rsidRPr="000C720C" w:rsidRDefault="001E3975" w:rsidP="000C720C">
            <w:pPr>
              <w:pStyle w:val="ListParagraph"/>
              <w:numPr>
                <w:ilvl w:val="3"/>
                <w:numId w:val="30"/>
              </w:numPr>
              <w:autoSpaceDN w:val="0"/>
              <w:spacing w:before="0" w:after="120" w:line="256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0C720C">
              <w:rPr>
                <w:rFonts w:ascii="Times New Roman" w:hAnsi="Times New Roman"/>
                <w:sz w:val="20"/>
                <w:szCs w:val="20"/>
              </w:rPr>
              <w:t xml:space="preserve">One set of requirements for coexisting with legacy TDD system in adjacent channel </w:t>
            </w:r>
          </w:p>
          <w:p w14:paraId="2E8E9FB3" w14:textId="77777777" w:rsidR="001E3975" w:rsidRPr="000C720C" w:rsidRDefault="001E3975" w:rsidP="000C720C">
            <w:pPr>
              <w:pStyle w:val="ListParagraph"/>
              <w:numPr>
                <w:ilvl w:val="3"/>
                <w:numId w:val="30"/>
              </w:numPr>
              <w:autoSpaceDN w:val="0"/>
              <w:spacing w:before="0" w:after="120" w:line="256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0C720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One set of requirements for coexisting with new SBFD system in adjacent channel </w:t>
            </w:r>
          </w:p>
          <w:p w14:paraId="3091702B" w14:textId="77777777" w:rsidR="001E3975" w:rsidRPr="000C720C" w:rsidRDefault="001E3975" w:rsidP="000C720C">
            <w:pPr>
              <w:pStyle w:val="ListParagraph"/>
              <w:numPr>
                <w:ilvl w:val="1"/>
                <w:numId w:val="30"/>
              </w:numPr>
              <w:spacing w:before="0" w:after="120" w:line="259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0C720C">
              <w:rPr>
                <w:rFonts w:ascii="Times New Roman" w:hAnsi="Times New Roman"/>
                <w:sz w:val="20"/>
                <w:szCs w:val="20"/>
              </w:rPr>
              <w:t>For FR1 WA BS co-existence study, FFS grid-shift values should be considered.</w:t>
            </w:r>
          </w:p>
          <w:p w14:paraId="5688E8CD" w14:textId="77777777" w:rsidR="001E3975" w:rsidRPr="000C720C" w:rsidRDefault="001E3975" w:rsidP="000C720C">
            <w:pPr>
              <w:pStyle w:val="ListParagraph"/>
              <w:numPr>
                <w:ilvl w:val="2"/>
                <w:numId w:val="30"/>
              </w:numPr>
              <w:spacing w:before="0" w:after="120" w:line="259" w:lineRule="auto"/>
              <w:ind w:hanging="357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720C">
              <w:rPr>
                <w:rFonts w:ascii="Times New Roman" w:eastAsiaTheme="minorEastAsia" w:hAnsi="Times New Roman"/>
                <w:sz w:val="20"/>
                <w:szCs w:val="20"/>
              </w:rPr>
              <w:t>Option 1: 10%</w:t>
            </w:r>
          </w:p>
          <w:p w14:paraId="5D57EFBD" w14:textId="77777777" w:rsidR="001E3975" w:rsidRPr="000C720C" w:rsidRDefault="001E3975" w:rsidP="000C720C">
            <w:pPr>
              <w:pStyle w:val="ListParagraph"/>
              <w:numPr>
                <w:ilvl w:val="2"/>
                <w:numId w:val="30"/>
              </w:numPr>
              <w:spacing w:before="0" w:after="120" w:line="259" w:lineRule="auto"/>
              <w:ind w:hanging="357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720C">
              <w:rPr>
                <w:rFonts w:ascii="Times New Roman" w:eastAsiaTheme="minorEastAsia" w:hAnsi="Times New Roman"/>
                <w:sz w:val="20"/>
                <w:szCs w:val="20"/>
              </w:rPr>
              <w:t>Option 2: 20%</w:t>
            </w:r>
          </w:p>
          <w:p w14:paraId="11951BC0" w14:textId="77777777" w:rsidR="001E3975" w:rsidRPr="000C720C" w:rsidRDefault="001E3975" w:rsidP="000C720C">
            <w:pPr>
              <w:pStyle w:val="ListParagraph"/>
              <w:numPr>
                <w:ilvl w:val="2"/>
                <w:numId w:val="30"/>
              </w:numPr>
              <w:spacing w:before="0" w:after="120" w:line="259" w:lineRule="auto"/>
              <w:ind w:hanging="357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720C">
              <w:rPr>
                <w:rFonts w:ascii="Times New Roman" w:eastAsiaTheme="minorEastAsia" w:hAnsi="Times New Roman"/>
                <w:sz w:val="20"/>
                <w:szCs w:val="20"/>
              </w:rPr>
              <w:t>Option 3: 50%</w:t>
            </w:r>
          </w:p>
          <w:p w14:paraId="2056526B" w14:textId="77777777" w:rsidR="001E3975" w:rsidRPr="000C720C" w:rsidRDefault="001E3975" w:rsidP="000C720C">
            <w:pPr>
              <w:pStyle w:val="ListParagraph"/>
              <w:numPr>
                <w:ilvl w:val="2"/>
                <w:numId w:val="30"/>
              </w:numPr>
              <w:spacing w:before="0" w:after="120" w:line="259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0C720C">
              <w:rPr>
                <w:rFonts w:ascii="Times New Roman" w:eastAsiaTheme="minorEastAsia" w:hAnsi="Times New Roman"/>
                <w:sz w:val="20"/>
                <w:szCs w:val="20"/>
              </w:rPr>
              <w:t>Option 4: 100%</w:t>
            </w:r>
          </w:p>
          <w:p w14:paraId="2AA49928" w14:textId="77777777" w:rsidR="001E3975" w:rsidRPr="000C720C" w:rsidRDefault="001E3975" w:rsidP="000C720C">
            <w:pPr>
              <w:pStyle w:val="ListParagraph"/>
              <w:numPr>
                <w:ilvl w:val="1"/>
                <w:numId w:val="30"/>
              </w:numPr>
              <w:spacing w:before="0" w:after="120" w:line="259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0C720C">
              <w:rPr>
                <w:rFonts w:ascii="Times New Roman" w:hAnsi="Times New Roman"/>
                <w:sz w:val="20"/>
                <w:szCs w:val="20"/>
              </w:rPr>
              <w:t>In-band blocking requirement for FR1 MR SBFD BS</w:t>
            </w:r>
          </w:p>
          <w:p w14:paraId="0794558C" w14:textId="77777777" w:rsidR="001E3975" w:rsidRPr="000C720C" w:rsidRDefault="001E3975" w:rsidP="000C720C">
            <w:pPr>
              <w:pStyle w:val="ListParagraph"/>
              <w:numPr>
                <w:ilvl w:val="1"/>
                <w:numId w:val="30"/>
              </w:numPr>
              <w:spacing w:before="0" w:after="120" w:line="259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0C720C">
              <w:rPr>
                <w:rFonts w:ascii="Times New Roman" w:hAnsi="Times New Roman"/>
                <w:sz w:val="20"/>
                <w:szCs w:val="20"/>
              </w:rPr>
              <w:t>In-band blocking requirement for FR2-1 WA and MR SBFD BS</w:t>
            </w:r>
          </w:p>
          <w:p w14:paraId="767A4B0E" w14:textId="4FB413DA" w:rsidR="00C22FEE" w:rsidRPr="00197B49" w:rsidRDefault="001E3975" w:rsidP="000C720C">
            <w:pPr>
              <w:pStyle w:val="ListParagraph"/>
              <w:numPr>
                <w:ilvl w:val="1"/>
                <w:numId w:val="30"/>
              </w:numPr>
              <w:spacing w:before="0" w:after="120" w:line="259" w:lineRule="auto"/>
              <w:ind w:hanging="357"/>
              <w:rPr>
                <w:rFonts w:eastAsia="SimSun"/>
                <w:szCs w:val="24"/>
              </w:rPr>
            </w:pPr>
            <w:r w:rsidRPr="000C720C">
              <w:rPr>
                <w:rFonts w:ascii="Times New Roman" w:hAnsi="Times New Roman"/>
                <w:sz w:val="20"/>
                <w:szCs w:val="20"/>
              </w:rPr>
              <w:t>For FR2 local area SBFD BS, re-use existing FR2 local area BS in-band blocking power requirements.</w:t>
            </w:r>
          </w:p>
        </w:tc>
      </w:tr>
    </w:tbl>
    <w:p w14:paraId="2E872A75" w14:textId="77777777" w:rsidR="00C22FEE" w:rsidRDefault="00C22FEE" w:rsidP="000B045F">
      <w:pPr>
        <w:rPr>
          <w:lang w:eastAsia="zh-CN"/>
        </w:rPr>
      </w:pPr>
    </w:p>
    <w:p w14:paraId="02CB9F7D" w14:textId="54068E71" w:rsidR="009B4A23" w:rsidRDefault="009B4A23" w:rsidP="009B4A23">
      <w:r>
        <w:t>In our previous contribution (</w:t>
      </w:r>
      <w:r w:rsidRPr="009B4A23">
        <w:t>R4-2415468</w:t>
      </w:r>
      <w:r>
        <w:t xml:space="preserve">), we have provided our in-band blocking requirement for 50% GS around -26 dB, considering AAS configuration considering two panels with 46 dBm conducted power per polarization. Given that there </w:t>
      </w:r>
      <w:proofErr w:type="gramStart"/>
      <w:r>
        <w:t>are</w:t>
      </w:r>
      <w:proofErr w:type="gramEnd"/>
      <w:r>
        <w:t xml:space="preserve"> difference in the underlying assumptions among companies within RAN4</w:t>
      </w:r>
      <w:r w:rsidR="00EE5599">
        <w:t xml:space="preserve"> and g</w:t>
      </w:r>
      <w:r w:rsidR="00F175FB">
        <w:t xml:space="preserve">iven that the main source of higher </w:t>
      </w:r>
      <w:r w:rsidR="00292BD1">
        <w:t>values for the in</w:t>
      </w:r>
      <w:r w:rsidR="004B649B">
        <w:t>-</w:t>
      </w:r>
      <w:r w:rsidR="00292BD1">
        <w:t xml:space="preserve">band blocking stem from the inter-gNB CLI. </w:t>
      </w:r>
      <w:r w:rsidR="00CE58FB">
        <w:t xml:space="preserve">It is </w:t>
      </w:r>
      <w:r w:rsidR="00E426ED">
        <w:t xml:space="preserve">preferable that RAN4 decouples the in-band requirements for coexistence with legacy TDD and coexistence with SBFD deployments. </w:t>
      </w:r>
      <w:r w:rsidR="00B86A10">
        <w:t>Such a decoupling of requirements can be implemented via defining different in-band blocking requirements and different declarations for the different levels.</w:t>
      </w:r>
    </w:p>
    <w:p w14:paraId="6506AA6A" w14:textId="6F50EF55" w:rsidR="00E426ED" w:rsidRPr="00DF583B" w:rsidRDefault="00E426ED" w:rsidP="009B4A23">
      <w:pPr>
        <w:rPr>
          <w:b/>
          <w:bCs/>
          <w:lang w:eastAsia="ja-JP"/>
        </w:rPr>
      </w:pPr>
      <w:r w:rsidRPr="00DF583B">
        <w:rPr>
          <w:b/>
          <w:bCs/>
          <w:u w:val="single"/>
        </w:rPr>
        <w:t xml:space="preserve">Proposal </w:t>
      </w:r>
      <w:r w:rsidR="00652941">
        <w:rPr>
          <w:b/>
          <w:bCs/>
          <w:u w:val="single"/>
        </w:rPr>
        <w:t>2</w:t>
      </w:r>
      <w:r w:rsidRPr="00DF583B">
        <w:rPr>
          <w:b/>
          <w:bCs/>
        </w:rPr>
        <w:t>: RAN4 to consider decoupled requirements for in</w:t>
      </w:r>
      <w:r w:rsidR="00DF583B">
        <w:rPr>
          <w:b/>
          <w:bCs/>
        </w:rPr>
        <w:t>-</w:t>
      </w:r>
      <w:r w:rsidRPr="00DF583B">
        <w:rPr>
          <w:b/>
          <w:bCs/>
        </w:rPr>
        <w:t xml:space="preserve">band blocking, where legacy requirements can be reused for </w:t>
      </w:r>
      <w:r w:rsidR="00DF583B" w:rsidRPr="00DF583B">
        <w:rPr>
          <w:b/>
          <w:bCs/>
        </w:rPr>
        <w:t>coexistence</w:t>
      </w:r>
      <w:r w:rsidRPr="00DF583B">
        <w:rPr>
          <w:b/>
          <w:bCs/>
        </w:rPr>
        <w:t xml:space="preserve"> with legacy TDD, and new set of requirements defined for </w:t>
      </w:r>
      <w:r w:rsidR="00DF583B" w:rsidRPr="00DF583B">
        <w:rPr>
          <w:b/>
          <w:bCs/>
        </w:rPr>
        <w:t xml:space="preserve">new SBFD deployment in the adjacent channel. </w:t>
      </w:r>
    </w:p>
    <w:p w14:paraId="5288A5D1" w14:textId="753D589E" w:rsidR="008C15FA" w:rsidRDefault="004B649B" w:rsidP="009E05F3">
      <w:r>
        <w:t>Regarding the coexistence with SBFD deployments, we believe it is important to account for realistic deployments</w:t>
      </w:r>
      <w:r w:rsidR="00195B9A">
        <w:t xml:space="preserve"> and scenarios. Based on [1], we have the following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95B9A" w14:paraId="51ECF1C7" w14:textId="77777777" w:rsidTr="00195B9A">
        <w:tc>
          <w:tcPr>
            <w:tcW w:w="9962" w:type="dxa"/>
          </w:tcPr>
          <w:p w14:paraId="6BAD495A" w14:textId="77777777" w:rsidR="00195B9A" w:rsidRPr="003E0D9F" w:rsidRDefault="00195B9A" w:rsidP="00195B9A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enhancements for CLI handling [RAN1, RAN2, RAN3]:</w:t>
            </w:r>
          </w:p>
          <w:p w14:paraId="202BF89A" w14:textId="079D089F" w:rsidR="00195B9A" w:rsidRPr="00195B9A" w:rsidRDefault="00195B9A" w:rsidP="009E05F3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Support gNB-to-gNB CLI handling scheme(s) (the detailed schemes are to be down-selected from those in TR38.858 by RAN1#117)</w:t>
            </w:r>
          </w:p>
        </w:tc>
      </w:tr>
    </w:tbl>
    <w:p w14:paraId="074080BA" w14:textId="77777777" w:rsidR="00195B9A" w:rsidRDefault="00195B9A" w:rsidP="009E05F3"/>
    <w:p w14:paraId="09FA3C94" w14:textId="6017EFBD" w:rsidR="00195B9A" w:rsidRDefault="00195B9A" w:rsidP="009E05F3">
      <w:r>
        <w:t xml:space="preserve">Thus, it is within the scope of the Rel-19 normative work that techniques for inter-gNB CLI will be developed </w:t>
      </w:r>
      <w:r w:rsidR="00616231">
        <w:t xml:space="preserve">for both co-channel and adjacent channel. </w:t>
      </w:r>
      <w:r w:rsidR="0033798D">
        <w:t xml:space="preserve">Since it might not be straightforward how to account for such CLI handling techniques in RAN4 when defining the different RAN4 requirements, it is preferable to </w:t>
      </w:r>
      <w:r w:rsidR="007913A4">
        <w:t>take into consideration that values based on the adjacent channel coexistence alone might be pessimistic. In addition, considering low grid shift values and looking at the 99% perce</w:t>
      </w:r>
      <w:r w:rsidR="00E97D5C">
        <w:t xml:space="preserve">ntile point might lead to overestimation of the inter-gNB CLI. </w:t>
      </w:r>
    </w:p>
    <w:p w14:paraId="579E56D6" w14:textId="2A587A3E" w:rsidR="0008520B" w:rsidRDefault="00E97D5C" w:rsidP="00B90736">
      <w:pPr>
        <w:rPr>
          <w:lang w:eastAsia="ja-JP"/>
        </w:rPr>
      </w:pPr>
      <w:r w:rsidRPr="000C720C">
        <w:rPr>
          <w:b/>
          <w:bCs/>
          <w:u w:val="single"/>
        </w:rPr>
        <w:t xml:space="preserve">Proposal </w:t>
      </w:r>
      <w:r w:rsidR="00652941">
        <w:rPr>
          <w:b/>
          <w:bCs/>
          <w:u w:val="single"/>
        </w:rPr>
        <w:t>3</w:t>
      </w:r>
      <w:r w:rsidRPr="000C720C">
        <w:rPr>
          <w:b/>
          <w:bCs/>
        </w:rPr>
        <w:t xml:space="preserve">: RAN4 to account for the fact that </w:t>
      </w:r>
      <w:r w:rsidR="00C5138A" w:rsidRPr="000C720C">
        <w:rPr>
          <w:b/>
          <w:bCs/>
        </w:rPr>
        <w:t xml:space="preserve">inter-gNB CLI handling techniques will be considered in the Rel-19 normative work </w:t>
      </w:r>
      <w:r w:rsidR="00693962" w:rsidRPr="000C720C">
        <w:rPr>
          <w:b/>
          <w:bCs/>
        </w:rPr>
        <w:t xml:space="preserve">and thus, </w:t>
      </w:r>
      <w:r w:rsidR="00F241B3" w:rsidRPr="000C720C">
        <w:rPr>
          <w:b/>
          <w:bCs/>
        </w:rPr>
        <w:t xml:space="preserve">low grid shift values and very high percentiles of the Rx power CDF </w:t>
      </w:r>
      <w:r w:rsidR="000C720C" w:rsidRPr="000C720C">
        <w:rPr>
          <w:b/>
          <w:bCs/>
        </w:rPr>
        <w:t xml:space="preserve">(99%) </w:t>
      </w:r>
      <w:r w:rsidR="00F241B3" w:rsidRPr="000C720C">
        <w:rPr>
          <w:b/>
          <w:bCs/>
        </w:rPr>
        <w:t>might cause overestimation of the inter-gNB CLI</w:t>
      </w:r>
      <w:r w:rsidR="000C720C" w:rsidRPr="000C720C">
        <w:rPr>
          <w:b/>
          <w:bCs/>
        </w:rPr>
        <w:t xml:space="preserve">. </w:t>
      </w:r>
    </w:p>
    <w:p w14:paraId="46DCD988" w14:textId="77777777" w:rsidR="00A37CEF" w:rsidRDefault="00A37CEF" w:rsidP="002A0877">
      <w:pPr>
        <w:pStyle w:val="Heading1"/>
        <w:jc w:val="both"/>
      </w:pPr>
      <w:r>
        <w:t>Conclusion</w:t>
      </w:r>
    </w:p>
    <w:p w14:paraId="21920010" w14:textId="2669ACB9" w:rsidR="00A37CEF" w:rsidRDefault="00A37CEF" w:rsidP="002A0877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t>provid</w:t>
      </w:r>
      <w:r>
        <w:t xml:space="preserve">ed our views on </w:t>
      </w:r>
      <w:r w:rsidR="00CE7110">
        <w:t xml:space="preserve">BS RF requirements for SBFD </w:t>
      </w:r>
      <w:r w:rsidRPr="00A562B7">
        <w:t>with</w:t>
      </w:r>
      <w:r>
        <w:t xml:space="preserve"> the </w:t>
      </w:r>
      <w:r w:rsidRPr="00A562B7">
        <w:t>following</w:t>
      </w:r>
      <w:r>
        <w:t xml:space="preserve"> observations and </w:t>
      </w:r>
      <w:r w:rsidRPr="00A562B7">
        <w:t>proposals:</w:t>
      </w:r>
    </w:p>
    <w:p w14:paraId="7DB0B697" w14:textId="77777777" w:rsidR="00CA2D3C" w:rsidRDefault="00CA2D3C" w:rsidP="00CA2D3C">
      <w:pPr>
        <w:jc w:val="both"/>
        <w:rPr>
          <w:b/>
          <w:bCs/>
          <w:lang w:eastAsia="zh-CN"/>
        </w:rPr>
      </w:pPr>
      <w:r w:rsidRPr="00E97104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1</w:t>
      </w:r>
      <w:r w:rsidRPr="00E97104">
        <w:rPr>
          <w:b/>
          <w:bCs/>
          <w:lang w:val="en-GB"/>
        </w:rPr>
        <w:t xml:space="preserve">: RAN4 to </w:t>
      </w:r>
      <w:r>
        <w:rPr>
          <w:b/>
          <w:bCs/>
          <w:lang w:val="en-GB"/>
        </w:rPr>
        <w:t xml:space="preserve">agree on 1 dB degradation due to </w:t>
      </w:r>
      <w:r w:rsidRPr="00E97104">
        <w:rPr>
          <w:b/>
          <w:bCs/>
          <w:lang w:eastAsia="zh-CN"/>
        </w:rPr>
        <w:t xml:space="preserve">self-interference, inter-site interference, and inter-sector interference when defining the OTA reference sensitivity. </w:t>
      </w:r>
    </w:p>
    <w:p w14:paraId="00069D18" w14:textId="77777777" w:rsidR="00652941" w:rsidRDefault="00652941" w:rsidP="00652941">
      <w:pPr>
        <w:rPr>
          <w:b/>
          <w:bCs/>
        </w:rPr>
      </w:pPr>
      <w:r w:rsidRPr="00DF583B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DF583B">
        <w:rPr>
          <w:b/>
          <w:bCs/>
        </w:rPr>
        <w:t>: RAN4 to consider decoupled requirements for in</w:t>
      </w:r>
      <w:r>
        <w:rPr>
          <w:b/>
          <w:bCs/>
        </w:rPr>
        <w:t>-</w:t>
      </w:r>
      <w:r w:rsidRPr="00DF583B">
        <w:rPr>
          <w:b/>
          <w:bCs/>
        </w:rPr>
        <w:t xml:space="preserve">band blocking, where legacy requirements can be reused for coexistence with legacy TDD, and new set of requirements defined for new SBFD deployment in the adjacent channel. </w:t>
      </w:r>
    </w:p>
    <w:p w14:paraId="70F9BC21" w14:textId="01A1882D" w:rsidR="00CA2D3C" w:rsidRPr="00652941" w:rsidRDefault="00652941" w:rsidP="00652941">
      <w:pPr>
        <w:rPr>
          <w:lang w:eastAsia="ja-JP"/>
        </w:rPr>
      </w:pPr>
      <w:r w:rsidRPr="000C720C">
        <w:rPr>
          <w:b/>
          <w:bCs/>
          <w:u w:val="single"/>
        </w:rPr>
        <w:lastRenderedPageBreak/>
        <w:t xml:space="preserve">Proposal </w:t>
      </w:r>
      <w:r>
        <w:rPr>
          <w:b/>
          <w:bCs/>
          <w:u w:val="single"/>
        </w:rPr>
        <w:t>3</w:t>
      </w:r>
      <w:r w:rsidRPr="000C720C">
        <w:rPr>
          <w:b/>
          <w:bCs/>
        </w:rPr>
        <w:t xml:space="preserve">: RAN4 to account for the fact that inter-gNB CLI handling techniques will be considered in the Rel-19 normative work and thus, low grid shift values and very high percentiles of the Rx power CDF (99%) might cause overestimation of the inter-gNB CLI. </w:t>
      </w:r>
    </w:p>
    <w:p w14:paraId="2B7C1C2C" w14:textId="77777777" w:rsidR="00A37CEF" w:rsidRPr="00D54742" w:rsidRDefault="00A37CEF" w:rsidP="002A0877">
      <w:pPr>
        <w:pStyle w:val="Heading1"/>
        <w:jc w:val="both"/>
      </w:pPr>
      <w:r>
        <w:t>References</w:t>
      </w:r>
    </w:p>
    <w:p w14:paraId="68D7A37D" w14:textId="77777777" w:rsidR="00832FB0" w:rsidRDefault="00832FB0" w:rsidP="00832FB0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5" w:name="_Ref47616084"/>
      <w:bookmarkStart w:id="6" w:name="_Ref32439522"/>
      <w:r w:rsidRPr="00753211">
        <w:rPr>
          <w:szCs w:val="20"/>
          <w:lang w:val="en-GB"/>
        </w:rPr>
        <w:t>RP-240789</w:t>
      </w:r>
      <w:r w:rsidRPr="005C32DA">
        <w:rPr>
          <w:szCs w:val="20"/>
          <w:lang w:val="en-GB"/>
        </w:rPr>
        <w:t xml:space="preserve"> </w:t>
      </w:r>
      <w:r w:rsidRPr="00785E35">
        <w:rPr>
          <w:szCs w:val="20"/>
          <w:lang w:val="en-GB"/>
        </w:rPr>
        <w:t>“</w:t>
      </w:r>
      <w:r>
        <w:rPr>
          <w:szCs w:val="20"/>
          <w:lang w:val="en-GB"/>
        </w:rPr>
        <w:t>Revised</w:t>
      </w:r>
      <w:r w:rsidRPr="005945B3">
        <w:rPr>
          <w:szCs w:val="20"/>
          <w:lang w:val="en-GB"/>
        </w:rPr>
        <w:t xml:space="preserve"> WID: Evolution of NR duplex operation: Sub-band full duplex (SBFD)</w:t>
      </w:r>
      <w:r w:rsidRPr="00785E35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 xml:space="preserve">Huawei, </w:t>
      </w:r>
      <w:proofErr w:type="spellStart"/>
      <w:r>
        <w:rPr>
          <w:szCs w:val="20"/>
          <w:lang w:val="en-GB"/>
        </w:rPr>
        <w:t>HiSilicon</w:t>
      </w:r>
      <w:proofErr w:type="spellEnd"/>
      <w:r w:rsidRPr="00785E35">
        <w:rPr>
          <w:szCs w:val="20"/>
          <w:lang w:val="en-GB"/>
        </w:rPr>
        <w:t xml:space="preserve">, </w:t>
      </w:r>
      <w:r w:rsidRPr="003E1C6B">
        <w:rPr>
          <w:szCs w:val="20"/>
          <w:lang w:val="en-GB"/>
        </w:rPr>
        <w:t>3GPP TSG RAN#</w:t>
      </w:r>
      <w:r>
        <w:rPr>
          <w:szCs w:val="20"/>
          <w:lang w:val="en-GB"/>
        </w:rPr>
        <w:t>103</w:t>
      </w:r>
      <w:r w:rsidRPr="00785E35">
        <w:rPr>
          <w:szCs w:val="20"/>
          <w:lang w:val="en-GB"/>
        </w:rPr>
        <w:t>.</w:t>
      </w:r>
      <w:bookmarkEnd w:id="5"/>
    </w:p>
    <w:p w14:paraId="33A7D731" w14:textId="77777777" w:rsidR="00832FB0" w:rsidRDefault="00832FB0" w:rsidP="00832FB0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6C6E79">
        <w:rPr>
          <w:szCs w:val="20"/>
          <w:lang w:val="en-GB"/>
        </w:rPr>
        <w:t>R4-2416585</w:t>
      </w:r>
      <w:r w:rsidRPr="00A37CEF">
        <w:rPr>
          <w:szCs w:val="20"/>
          <w:lang w:val="en-GB"/>
        </w:rPr>
        <w:t>, “</w:t>
      </w:r>
      <w:r w:rsidRPr="00F10AFF">
        <w:rPr>
          <w:szCs w:val="20"/>
          <w:lang w:val="en-GB"/>
        </w:rPr>
        <w:t>Way Forward for [112][30</w:t>
      </w:r>
      <w:r>
        <w:rPr>
          <w:szCs w:val="20"/>
          <w:lang w:val="en-GB"/>
        </w:rPr>
        <w:t>8</w:t>
      </w:r>
      <w:r w:rsidRPr="00F10AFF">
        <w:rPr>
          <w:szCs w:val="20"/>
          <w:lang w:val="en-GB"/>
        </w:rPr>
        <w:t xml:space="preserve">] </w:t>
      </w:r>
      <w:proofErr w:type="spellStart"/>
      <w:r w:rsidRPr="00F10AFF">
        <w:rPr>
          <w:szCs w:val="20"/>
          <w:lang w:val="en-GB"/>
        </w:rPr>
        <w:t>NR_duplex_evo_General</w:t>
      </w:r>
      <w:proofErr w:type="spellEnd"/>
      <w:r w:rsidRPr="00A37CEF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 xml:space="preserve">RAN4#112bis, Huawei, </w:t>
      </w:r>
      <w:proofErr w:type="spellStart"/>
      <w:r>
        <w:rPr>
          <w:szCs w:val="20"/>
          <w:lang w:val="en-GB"/>
        </w:rPr>
        <w:t>HiSilicon</w:t>
      </w:r>
      <w:proofErr w:type="spellEnd"/>
      <w:r w:rsidRPr="00A37CEF">
        <w:rPr>
          <w:szCs w:val="20"/>
          <w:lang w:val="en-GB"/>
        </w:rPr>
        <w:t xml:space="preserve">. </w:t>
      </w:r>
    </w:p>
    <w:bookmarkEnd w:id="6"/>
    <w:p w14:paraId="7547DE2D" w14:textId="77777777" w:rsidR="00A37CEF" w:rsidRDefault="00A37CEF" w:rsidP="002A0877">
      <w:pPr>
        <w:jc w:val="both"/>
      </w:pPr>
    </w:p>
    <w:sectPr w:rsidR="00A37CEF" w:rsidSect="00370B59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21CA4" w14:textId="77777777" w:rsidR="004F44AD" w:rsidRDefault="004F44AD">
      <w:pPr>
        <w:spacing w:after="0"/>
      </w:pPr>
      <w:r>
        <w:separator/>
      </w:r>
    </w:p>
  </w:endnote>
  <w:endnote w:type="continuationSeparator" w:id="0">
    <w:p w14:paraId="23C1BC1B" w14:textId="77777777" w:rsidR="004F44AD" w:rsidRDefault="004F44AD">
      <w:pPr>
        <w:spacing w:after="0"/>
      </w:pPr>
      <w:r>
        <w:continuationSeparator/>
      </w:r>
    </w:p>
  </w:endnote>
  <w:endnote w:type="continuationNotice" w:id="1">
    <w:p w14:paraId="4ECE1A65" w14:textId="77777777" w:rsidR="004F44AD" w:rsidRDefault="004F44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98EDF" w14:textId="77777777" w:rsidR="00146ED2" w:rsidRDefault="00E045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E84F1" w14:textId="77777777" w:rsidR="00146ED2" w:rsidRDefault="00E045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02216" w14:textId="77777777" w:rsidR="004F44AD" w:rsidRDefault="004F44AD">
      <w:pPr>
        <w:spacing w:after="0"/>
      </w:pPr>
      <w:r>
        <w:separator/>
      </w:r>
    </w:p>
  </w:footnote>
  <w:footnote w:type="continuationSeparator" w:id="0">
    <w:p w14:paraId="20A28917" w14:textId="77777777" w:rsidR="004F44AD" w:rsidRDefault="004F44AD">
      <w:pPr>
        <w:spacing w:after="0"/>
      </w:pPr>
      <w:r>
        <w:continuationSeparator/>
      </w:r>
    </w:p>
  </w:footnote>
  <w:footnote w:type="continuationNotice" w:id="1">
    <w:p w14:paraId="2D3928CF" w14:textId="77777777" w:rsidR="004F44AD" w:rsidRDefault="004F44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64725"/>
    <w:multiLevelType w:val="hybridMultilevel"/>
    <w:tmpl w:val="1EBE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3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4988422">
    <w:abstractNumId w:val="11"/>
  </w:num>
  <w:num w:numId="2" w16cid:durableId="276178333">
    <w:abstractNumId w:val="0"/>
  </w:num>
  <w:num w:numId="3" w16cid:durableId="741606055">
    <w:abstractNumId w:val="3"/>
  </w:num>
  <w:num w:numId="4" w16cid:durableId="1935287387">
    <w:abstractNumId w:val="17"/>
  </w:num>
  <w:num w:numId="5" w16cid:durableId="1753619575">
    <w:abstractNumId w:val="22"/>
  </w:num>
  <w:num w:numId="6" w16cid:durableId="528227147">
    <w:abstractNumId w:val="7"/>
  </w:num>
  <w:num w:numId="7" w16cid:durableId="1151141409">
    <w:abstractNumId w:val="24"/>
  </w:num>
  <w:num w:numId="8" w16cid:durableId="1326208731">
    <w:abstractNumId w:val="21"/>
  </w:num>
  <w:num w:numId="9" w16cid:durableId="2096242991">
    <w:abstractNumId w:val="18"/>
  </w:num>
  <w:num w:numId="10" w16cid:durableId="964656557">
    <w:abstractNumId w:val="23"/>
  </w:num>
  <w:num w:numId="11" w16cid:durableId="724842134">
    <w:abstractNumId w:val="6"/>
  </w:num>
  <w:num w:numId="12" w16cid:durableId="1263489318">
    <w:abstractNumId w:val="30"/>
  </w:num>
  <w:num w:numId="13" w16cid:durableId="1656177574">
    <w:abstractNumId w:val="5"/>
  </w:num>
  <w:num w:numId="14" w16cid:durableId="1351568597">
    <w:abstractNumId w:val="2"/>
  </w:num>
  <w:num w:numId="15" w16cid:durableId="197086569">
    <w:abstractNumId w:val="8"/>
  </w:num>
  <w:num w:numId="16" w16cid:durableId="1700426356">
    <w:abstractNumId w:val="9"/>
  </w:num>
  <w:num w:numId="17" w16cid:durableId="517815193">
    <w:abstractNumId w:val="10"/>
  </w:num>
  <w:num w:numId="18" w16cid:durableId="1275752242">
    <w:abstractNumId w:val="20"/>
  </w:num>
  <w:num w:numId="19" w16cid:durableId="1417093260">
    <w:abstractNumId w:val="16"/>
  </w:num>
  <w:num w:numId="20" w16cid:durableId="925773427">
    <w:abstractNumId w:val="28"/>
  </w:num>
  <w:num w:numId="21" w16cid:durableId="306326423">
    <w:abstractNumId w:val="4"/>
  </w:num>
  <w:num w:numId="22" w16cid:durableId="1262372539">
    <w:abstractNumId w:val="15"/>
  </w:num>
  <w:num w:numId="23" w16cid:durableId="634524535">
    <w:abstractNumId w:val="14"/>
  </w:num>
  <w:num w:numId="24" w16cid:durableId="1509710620">
    <w:abstractNumId w:val="27"/>
  </w:num>
  <w:num w:numId="25" w16cid:durableId="475488186">
    <w:abstractNumId w:val="26"/>
  </w:num>
  <w:num w:numId="26" w16cid:durableId="577984225">
    <w:abstractNumId w:val="19"/>
  </w:num>
  <w:num w:numId="27" w16cid:durableId="236524678">
    <w:abstractNumId w:val="29"/>
  </w:num>
  <w:num w:numId="28" w16cid:durableId="1915163336">
    <w:abstractNumId w:val="12"/>
  </w:num>
  <w:num w:numId="29" w16cid:durableId="1180585837">
    <w:abstractNumId w:val="13"/>
  </w:num>
  <w:num w:numId="30" w16cid:durableId="130952112">
    <w:abstractNumId w:val="25"/>
  </w:num>
  <w:num w:numId="31" w16cid:durableId="1276710328">
    <w:abstractNumId w:val="1"/>
  </w:num>
  <w:num w:numId="32" w16cid:durableId="8375804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2BE6"/>
    <w:rsid w:val="00004ACF"/>
    <w:rsid w:val="00011B8F"/>
    <w:rsid w:val="00040198"/>
    <w:rsid w:val="00042F87"/>
    <w:rsid w:val="000522DE"/>
    <w:rsid w:val="00071946"/>
    <w:rsid w:val="0007385C"/>
    <w:rsid w:val="00080CD0"/>
    <w:rsid w:val="0008520B"/>
    <w:rsid w:val="00097DDE"/>
    <w:rsid w:val="000B045F"/>
    <w:rsid w:val="000C5F0B"/>
    <w:rsid w:val="000C720C"/>
    <w:rsid w:val="000E1A1B"/>
    <w:rsid w:val="00101864"/>
    <w:rsid w:val="00110C08"/>
    <w:rsid w:val="00121810"/>
    <w:rsid w:val="00125EDD"/>
    <w:rsid w:val="00127E88"/>
    <w:rsid w:val="00146ED2"/>
    <w:rsid w:val="0014783E"/>
    <w:rsid w:val="00154124"/>
    <w:rsid w:val="001663D5"/>
    <w:rsid w:val="0017600B"/>
    <w:rsid w:val="00176A56"/>
    <w:rsid w:val="00191713"/>
    <w:rsid w:val="00195B9A"/>
    <w:rsid w:val="00197B49"/>
    <w:rsid w:val="001B7890"/>
    <w:rsid w:val="001C19F4"/>
    <w:rsid w:val="001D54E0"/>
    <w:rsid w:val="001E1CC2"/>
    <w:rsid w:val="001E3975"/>
    <w:rsid w:val="001F7C18"/>
    <w:rsid w:val="0020337F"/>
    <w:rsid w:val="00205B4B"/>
    <w:rsid w:val="002137C2"/>
    <w:rsid w:val="00214068"/>
    <w:rsid w:val="00226BAA"/>
    <w:rsid w:val="00227A45"/>
    <w:rsid w:val="0023172D"/>
    <w:rsid w:val="002415E8"/>
    <w:rsid w:val="00253E95"/>
    <w:rsid w:val="002559EB"/>
    <w:rsid w:val="002661E3"/>
    <w:rsid w:val="00271968"/>
    <w:rsid w:val="00275C28"/>
    <w:rsid w:val="00285987"/>
    <w:rsid w:val="002904E7"/>
    <w:rsid w:val="00292BD1"/>
    <w:rsid w:val="002957BF"/>
    <w:rsid w:val="002A0877"/>
    <w:rsid w:val="002A48E5"/>
    <w:rsid w:val="002B37C9"/>
    <w:rsid w:val="002B7864"/>
    <w:rsid w:val="002C51A0"/>
    <w:rsid w:val="002E21FA"/>
    <w:rsid w:val="002E379C"/>
    <w:rsid w:val="002E68AC"/>
    <w:rsid w:val="002E7C21"/>
    <w:rsid w:val="002F3C21"/>
    <w:rsid w:val="00301325"/>
    <w:rsid w:val="00302B97"/>
    <w:rsid w:val="0030660F"/>
    <w:rsid w:val="00311B4E"/>
    <w:rsid w:val="0032021E"/>
    <w:rsid w:val="003228A6"/>
    <w:rsid w:val="00323D8C"/>
    <w:rsid w:val="0033798D"/>
    <w:rsid w:val="00370B59"/>
    <w:rsid w:val="00372ECA"/>
    <w:rsid w:val="0039127D"/>
    <w:rsid w:val="003A141C"/>
    <w:rsid w:val="003A66A2"/>
    <w:rsid w:val="003B0C33"/>
    <w:rsid w:val="003B1FFF"/>
    <w:rsid w:val="003B2015"/>
    <w:rsid w:val="003B2119"/>
    <w:rsid w:val="003B3D26"/>
    <w:rsid w:val="003C7439"/>
    <w:rsid w:val="003E2F06"/>
    <w:rsid w:val="00401DF9"/>
    <w:rsid w:val="004207BE"/>
    <w:rsid w:val="00421E71"/>
    <w:rsid w:val="00422733"/>
    <w:rsid w:val="00422C13"/>
    <w:rsid w:val="00447550"/>
    <w:rsid w:val="004563FB"/>
    <w:rsid w:val="00460441"/>
    <w:rsid w:val="00460D91"/>
    <w:rsid w:val="004722C5"/>
    <w:rsid w:val="00476B9C"/>
    <w:rsid w:val="0048722C"/>
    <w:rsid w:val="00490A35"/>
    <w:rsid w:val="004945D2"/>
    <w:rsid w:val="004A56D0"/>
    <w:rsid w:val="004A7EA2"/>
    <w:rsid w:val="004B649B"/>
    <w:rsid w:val="004C1401"/>
    <w:rsid w:val="004D0585"/>
    <w:rsid w:val="004F44AD"/>
    <w:rsid w:val="004F7659"/>
    <w:rsid w:val="00511429"/>
    <w:rsid w:val="00516597"/>
    <w:rsid w:val="00516DAF"/>
    <w:rsid w:val="00520BDE"/>
    <w:rsid w:val="00523634"/>
    <w:rsid w:val="0052648A"/>
    <w:rsid w:val="00540B8E"/>
    <w:rsid w:val="00543697"/>
    <w:rsid w:val="00543C13"/>
    <w:rsid w:val="00556880"/>
    <w:rsid w:val="00560D4B"/>
    <w:rsid w:val="00562504"/>
    <w:rsid w:val="00582C3B"/>
    <w:rsid w:val="00586E75"/>
    <w:rsid w:val="00593642"/>
    <w:rsid w:val="005C6CB9"/>
    <w:rsid w:val="005D66C2"/>
    <w:rsid w:val="005F730B"/>
    <w:rsid w:val="006107E7"/>
    <w:rsid w:val="00616231"/>
    <w:rsid w:val="00633543"/>
    <w:rsid w:val="00633573"/>
    <w:rsid w:val="0064631E"/>
    <w:rsid w:val="00652941"/>
    <w:rsid w:val="0066354C"/>
    <w:rsid w:val="00664464"/>
    <w:rsid w:val="00666011"/>
    <w:rsid w:val="00667B84"/>
    <w:rsid w:val="006738CE"/>
    <w:rsid w:val="006818F8"/>
    <w:rsid w:val="00685299"/>
    <w:rsid w:val="00690ED5"/>
    <w:rsid w:val="00692032"/>
    <w:rsid w:val="00693962"/>
    <w:rsid w:val="006A34F7"/>
    <w:rsid w:val="006A7447"/>
    <w:rsid w:val="006B0E0F"/>
    <w:rsid w:val="006B2638"/>
    <w:rsid w:val="006D2AFF"/>
    <w:rsid w:val="006E0AE9"/>
    <w:rsid w:val="006E4349"/>
    <w:rsid w:val="006F730F"/>
    <w:rsid w:val="007018D8"/>
    <w:rsid w:val="00705014"/>
    <w:rsid w:val="0070632C"/>
    <w:rsid w:val="0072106E"/>
    <w:rsid w:val="00730DB8"/>
    <w:rsid w:val="007354CE"/>
    <w:rsid w:val="007450D2"/>
    <w:rsid w:val="00752961"/>
    <w:rsid w:val="00753211"/>
    <w:rsid w:val="007621D1"/>
    <w:rsid w:val="00767151"/>
    <w:rsid w:val="00771053"/>
    <w:rsid w:val="00773780"/>
    <w:rsid w:val="007901C7"/>
    <w:rsid w:val="007905B1"/>
    <w:rsid w:val="007913A4"/>
    <w:rsid w:val="007C0052"/>
    <w:rsid w:val="007C432C"/>
    <w:rsid w:val="007E3189"/>
    <w:rsid w:val="007E49C0"/>
    <w:rsid w:val="007F13E3"/>
    <w:rsid w:val="00801478"/>
    <w:rsid w:val="008019AF"/>
    <w:rsid w:val="008032A6"/>
    <w:rsid w:val="00816D3E"/>
    <w:rsid w:val="00821175"/>
    <w:rsid w:val="0082235C"/>
    <w:rsid w:val="00825F5E"/>
    <w:rsid w:val="00832FB0"/>
    <w:rsid w:val="00890214"/>
    <w:rsid w:val="0089771A"/>
    <w:rsid w:val="008B00FC"/>
    <w:rsid w:val="008B6981"/>
    <w:rsid w:val="008C15FA"/>
    <w:rsid w:val="008D6DE6"/>
    <w:rsid w:val="008F1778"/>
    <w:rsid w:val="009015C8"/>
    <w:rsid w:val="00901F73"/>
    <w:rsid w:val="00904E4C"/>
    <w:rsid w:val="0090669B"/>
    <w:rsid w:val="009152FC"/>
    <w:rsid w:val="009169F8"/>
    <w:rsid w:val="009214B4"/>
    <w:rsid w:val="00925A3A"/>
    <w:rsid w:val="0093198E"/>
    <w:rsid w:val="00946833"/>
    <w:rsid w:val="009534D5"/>
    <w:rsid w:val="00975340"/>
    <w:rsid w:val="009B4A23"/>
    <w:rsid w:val="009C07A6"/>
    <w:rsid w:val="009C497B"/>
    <w:rsid w:val="009D7F66"/>
    <w:rsid w:val="009E05F3"/>
    <w:rsid w:val="009E5680"/>
    <w:rsid w:val="009F0F3F"/>
    <w:rsid w:val="009F1412"/>
    <w:rsid w:val="00A12CCE"/>
    <w:rsid w:val="00A22A4B"/>
    <w:rsid w:val="00A25A5D"/>
    <w:rsid w:val="00A333A3"/>
    <w:rsid w:val="00A37CEF"/>
    <w:rsid w:val="00A4674A"/>
    <w:rsid w:val="00A5423E"/>
    <w:rsid w:val="00A60640"/>
    <w:rsid w:val="00A71710"/>
    <w:rsid w:val="00A76A89"/>
    <w:rsid w:val="00A7799D"/>
    <w:rsid w:val="00A87452"/>
    <w:rsid w:val="00A951B5"/>
    <w:rsid w:val="00A96DB3"/>
    <w:rsid w:val="00AA5EF7"/>
    <w:rsid w:val="00AA6AEB"/>
    <w:rsid w:val="00AA6CCC"/>
    <w:rsid w:val="00AC576F"/>
    <w:rsid w:val="00AC7ACA"/>
    <w:rsid w:val="00AD546F"/>
    <w:rsid w:val="00AD55E4"/>
    <w:rsid w:val="00AF207B"/>
    <w:rsid w:val="00AF2ADB"/>
    <w:rsid w:val="00AF54AA"/>
    <w:rsid w:val="00AF6269"/>
    <w:rsid w:val="00B336E2"/>
    <w:rsid w:val="00B35350"/>
    <w:rsid w:val="00B42584"/>
    <w:rsid w:val="00B42B77"/>
    <w:rsid w:val="00B4571C"/>
    <w:rsid w:val="00B52C0B"/>
    <w:rsid w:val="00B54521"/>
    <w:rsid w:val="00B6421A"/>
    <w:rsid w:val="00B671A2"/>
    <w:rsid w:val="00B8218A"/>
    <w:rsid w:val="00B86A10"/>
    <w:rsid w:val="00B90736"/>
    <w:rsid w:val="00B93BC9"/>
    <w:rsid w:val="00B93F55"/>
    <w:rsid w:val="00BC19E0"/>
    <w:rsid w:val="00BC26B2"/>
    <w:rsid w:val="00BF05C4"/>
    <w:rsid w:val="00C15AD2"/>
    <w:rsid w:val="00C20293"/>
    <w:rsid w:val="00C22FEE"/>
    <w:rsid w:val="00C42092"/>
    <w:rsid w:val="00C454CD"/>
    <w:rsid w:val="00C476F7"/>
    <w:rsid w:val="00C5138A"/>
    <w:rsid w:val="00C55129"/>
    <w:rsid w:val="00C65259"/>
    <w:rsid w:val="00C77999"/>
    <w:rsid w:val="00CA2D3C"/>
    <w:rsid w:val="00CC3ED4"/>
    <w:rsid w:val="00CC5B9A"/>
    <w:rsid w:val="00CC6518"/>
    <w:rsid w:val="00CE58FB"/>
    <w:rsid w:val="00CE5C29"/>
    <w:rsid w:val="00CE7110"/>
    <w:rsid w:val="00CF325A"/>
    <w:rsid w:val="00CF3E04"/>
    <w:rsid w:val="00CF4976"/>
    <w:rsid w:val="00CF75D3"/>
    <w:rsid w:val="00D12619"/>
    <w:rsid w:val="00D25E76"/>
    <w:rsid w:val="00D3736F"/>
    <w:rsid w:val="00D51392"/>
    <w:rsid w:val="00D60509"/>
    <w:rsid w:val="00D94BCD"/>
    <w:rsid w:val="00DA31C3"/>
    <w:rsid w:val="00DB3FEB"/>
    <w:rsid w:val="00DC004D"/>
    <w:rsid w:val="00DF583B"/>
    <w:rsid w:val="00E010D1"/>
    <w:rsid w:val="00E02445"/>
    <w:rsid w:val="00E0451E"/>
    <w:rsid w:val="00E1074C"/>
    <w:rsid w:val="00E210C6"/>
    <w:rsid w:val="00E242F2"/>
    <w:rsid w:val="00E307AE"/>
    <w:rsid w:val="00E324D7"/>
    <w:rsid w:val="00E426ED"/>
    <w:rsid w:val="00E4434F"/>
    <w:rsid w:val="00E51887"/>
    <w:rsid w:val="00E53794"/>
    <w:rsid w:val="00E54D55"/>
    <w:rsid w:val="00E57003"/>
    <w:rsid w:val="00E5796C"/>
    <w:rsid w:val="00E751F4"/>
    <w:rsid w:val="00E76E43"/>
    <w:rsid w:val="00E8553E"/>
    <w:rsid w:val="00E97104"/>
    <w:rsid w:val="00E97D5C"/>
    <w:rsid w:val="00EA3C4E"/>
    <w:rsid w:val="00EA5DF6"/>
    <w:rsid w:val="00EB7153"/>
    <w:rsid w:val="00EC76F4"/>
    <w:rsid w:val="00ED2FC1"/>
    <w:rsid w:val="00ED7681"/>
    <w:rsid w:val="00EE146F"/>
    <w:rsid w:val="00EE5599"/>
    <w:rsid w:val="00EF442F"/>
    <w:rsid w:val="00EF49CD"/>
    <w:rsid w:val="00F0171B"/>
    <w:rsid w:val="00F0613B"/>
    <w:rsid w:val="00F12745"/>
    <w:rsid w:val="00F175FB"/>
    <w:rsid w:val="00F241B3"/>
    <w:rsid w:val="00F44EF7"/>
    <w:rsid w:val="00F47183"/>
    <w:rsid w:val="00F5459B"/>
    <w:rsid w:val="00F8145A"/>
    <w:rsid w:val="00F965A9"/>
    <w:rsid w:val="00FB7F18"/>
    <w:rsid w:val="00FC4FAD"/>
    <w:rsid w:val="00FC7347"/>
    <w:rsid w:val="00FD77F7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592D8395-509E-4F6B-91B0-F7556466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uiPriority w:val="99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semiHidden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1891</TotalTime>
  <Pages>3</Pages>
  <Words>865</Words>
  <Characters>4931</Characters>
  <Application>Microsoft Office Word</Application>
  <DocSecurity>0</DocSecurity>
  <Lines>41</Lines>
  <Paragraphs>11</Paragraphs>
  <ScaleCrop>false</ScaleCrop>
  <Company>Qualcomm Incorporated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307</cp:revision>
  <dcterms:created xsi:type="dcterms:W3CDTF">2024-03-19T10:25:00Z</dcterms:created>
  <dcterms:modified xsi:type="dcterms:W3CDTF">2024-11-08T11:39:00Z</dcterms:modified>
</cp:coreProperties>
</file>